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C53C6">
        <w:rPr>
          <w:b/>
          <w:color w:val="000000"/>
          <w:u w:val="single"/>
        </w:rPr>
        <w:t>014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1A2C9A">
        <w:rPr>
          <w:rFonts w:cs="Arial"/>
        </w:rPr>
        <w:t>Municipal, que fa</w:t>
      </w:r>
      <w:r w:rsidR="00DC53C6">
        <w:rPr>
          <w:rFonts w:cs="Arial"/>
        </w:rPr>
        <w:t>ça a reforma do Açougue Público Municipal</w:t>
      </w:r>
      <w:bookmarkStart w:id="0" w:name="_GoBack"/>
      <w:bookmarkEnd w:id="0"/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DC53C6">
        <w:rPr>
          <w:color w:val="000000"/>
        </w:rPr>
        <w:t>18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5107B">
        <w:rPr>
          <w:color w:val="000000"/>
        </w:rPr>
        <w:t>março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5107B" w:rsidP="0075107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WILSON PEREIRA MARIZ JÚNIOR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5097-FB8E-4E5C-BB28-0CBBC857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2026-02-26T11:29:00Z</cp:lastPrinted>
  <dcterms:created xsi:type="dcterms:W3CDTF">2026-03-18T12:01:00Z</dcterms:created>
  <dcterms:modified xsi:type="dcterms:W3CDTF">2026-03-18T12:01:00Z</dcterms:modified>
</cp:coreProperties>
</file>