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5107B">
        <w:rPr>
          <w:b/>
          <w:color w:val="000000"/>
          <w:u w:val="single"/>
        </w:rPr>
        <w:t>011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75107B">
        <w:rPr>
          <w:rFonts w:cs="Arial"/>
        </w:rPr>
        <w:t>Municipal, que faça a reforma do Matadouro Público Municipal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5107B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</w:t>
      </w:r>
      <w:bookmarkStart w:id="0" w:name="_GoBack"/>
      <w:bookmarkEnd w:id="0"/>
      <w:r>
        <w:rPr>
          <w:b/>
          <w:color w:val="000000"/>
        </w:rPr>
        <w:t xml:space="preserve">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CBB5-AA52-4E88-9E16-0302E505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2026-03-10T11:42:00Z</dcterms:created>
  <dcterms:modified xsi:type="dcterms:W3CDTF">2026-03-10T11:42:00Z</dcterms:modified>
</cp:coreProperties>
</file>