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13FFA">
        <w:rPr>
          <w:b/>
          <w:color w:val="000000"/>
          <w:u w:val="single"/>
        </w:rPr>
        <w:t>010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113FFA">
        <w:rPr>
          <w:rFonts w:cs="Arial"/>
        </w:rPr>
        <w:t>Municipal, que faça a reforma geral do Estádio de Futebol o Nogueirão (banheiro, vestuário, cabine de transmissão, grama, etc.)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281C7C">
        <w:rPr>
          <w:color w:val="000000"/>
        </w:rPr>
        <w:t>26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BCC4-F4CB-426E-B28F-8B092021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2026-02-26T11:29:00Z</cp:lastPrinted>
  <dcterms:created xsi:type="dcterms:W3CDTF">2026-02-26T11:31:00Z</dcterms:created>
  <dcterms:modified xsi:type="dcterms:W3CDTF">2026-02-26T11:31:00Z</dcterms:modified>
</cp:coreProperties>
</file>