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0775D">
        <w:rPr>
          <w:b/>
          <w:color w:val="000000"/>
          <w:u w:val="single"/>
        </w:rPr>
        <w:t>008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8F22F6">
        <w:rPr>
          <w:rFonts w:cs="Arial"/>
        </w:rPr>
        <w:t>Municipal, que faça a pavim</w:t>
      </w:r>
      <w:r w:rsidR="0060775D">
        <w:rPr>
          <w:rFonts w:cs="Arial"/>
        </w:rPr>
        <w:t>entação da Rua. Otacílio Julião da Paz, que fica por trás do CRAS, como também a colocação de um braço com uma luz no poste que fica próximo ao chafariz, na mesma rua</w:t>
      </w:r>
      <w:bookmarkStart w:id="0" w:name="_GoBack"/>
      <w:bookmarkEnd w:id="0"/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83032">
        <w:rPr>
          <w:color w:val="000000"/>
        </w:rPr>
        <w:t>23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83032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5CF2-F626-4BF5-AF4F-FC371E85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2026-02-23T12:09:00Z</cp:lastPrinted>
  <dcterms:created xsi:type="dcterms:W3CDTF">2026-02-23T14:27:00Z</dcterms:created>
  <dcterms:modified xsi:type="dcterms:W3CDTF">2026-02-23T14:27:00Z</dcterms:modified>
</cp:coreProperties>
</file>