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7750F">
        <w:rPr>
          <w:b/>
          <w:color w:val="000000"/>
          <w:u w:val="single"/>
        </w:rPr>
        <w:t>005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A7750F">
        <w:rPr>
          <w:rFonts w:cs="Arial"/>
        </w:rPr>
        <w:t>ecutivo Municipal, que faça a reforma do Ginásio de Esportes, e que onde fica o palco, seja feito um espaço para pessoas com deficiência, com colocação de rampa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A7750F">
        <w:rPr>
          <w:color w:val="000000"/>
        </w:rPr>
        <w:t>12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C745B">
        <w:rPr>
          <w:color w:val="000000"/>
        </w:rPr>
        <w:t>fevereiro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A7750F" w:rsidP="003B1AEB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9954-FDAF-4B6D-8D2C-6FA72E20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2025-12-08T12:58:00Z</cp:lastPrinted>
  <dcterms:created xsi:type="dcterms:W3CDTF">2026-02-12T12:21:00Z</dcterms:created>
  <dcterms:modified xsi:type="dcterms:W3CDTF">2026-02-12T12:21:00Z</dcterms:modified>
</cp:coreProperties>
</file>