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DE LEI Nº 015/2025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535.433070866142" w:right="5.6692913385830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 a assistência técnica pública e gratuita para elaboração de projeto e acompanhamento técnico da construção ou regularização da habitação de baixa renda no município de São João do Sabugi/RN e dá outras providências.</w:t>
      </w:r>
    </w:p>
    <w:p w:rsidR="00000000" w:rsidDel="00000000" w:rsidP="00000000" w:rsidRDefault="00000000" w:rsidRPr="00000000" w14:paraId="00000003">
      <w:pPr>
        <w:spacing w:after="0" w:line="240" w:lineRule="auto"/>
        <w:ind w:left="4535.433070866142" w:right="5.6692913385830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6274oixhjx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 São João do Sabugi/RN decreta a seguinte Lei:</w:t>
      </w:r>
    </w:p>
    <w:p w:rsidR="00000000" w:rsidDel="00000000" w:rsidP="00000000" w:rsidRDefault="00000000" w:rsidRPr="00000000" w14:paraId="00000005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assegurado o direito das famílias de baixa renda, à assistência técnica pública e gratuita para elaboração de projeto e acompanhamento técnico da construção, ou regularização da habitação no Município de São João do Sabugi/RN.</w:t>
      </w:r>
    </w:p>
    <w:p w:rsidR="00000000" w:rsidDel="00000000" w:rsidP="00000000" w:rsidRDefault="00000000" w:rsidRPr="00000000" w14:paraId="00000006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O direito à assistência técnica previsto no caput abrange todos os trabalhos de projeto, acompanhamento da execução da obra a cargo do profissional arquiteto, engenheiro, técnicos em edificação ou técnico em construção civil para a edificação, reforma, ampliação ou regularização fundiária da habitação.</w:t>
      </w:r>
    </w:p>
    <w:p w:rsidR="00000000" w:rsidDel="00000000" w:rsidP="00000000" w:rsidRDefault="00000000" w:rsidRPr="00000000" w14:paraId="00000007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assistência técnica de que trata desta Lei tem por objetivos:</w:t>
      </w:r>
    </w:p>
    <w:p w:rsidR="00000000" w:rsidDel="00000000" w:rsidP="00000000" w:rsidRDefault="00000000" w:rsidRPr="00000000" w14:paraId="00000008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otimizar e qualificar o uso e o aproveitamento racional do espaço edificado e de seu entorno, bem como dos recursos humanos, técnicos e econômicos empregados no projeto e na construção da habitação;</w:t>
      </w:r>
    </w:p>
    <w:p w:rsidR="00000000" w:rsidDel="00000000" w:rsidP="00000000" w:rsidRDefault="00000000" w:rsidRPr="00000000" w14:paraId="00000009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formalizar o processo de edificação ou regularização da habitação perante o Poder Público Municipal;</w:t>
      </w:r>
    </w:p>
    <w:p w:rsidR="00000000" w:rsidDel="00000000" w:rsidP="00000000" w:rsidRDefault="00000000" w:rsidRPr="00000000" w14:paraId="0000000A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evitar a ocupação de áreas de risco e de interesse ambiental;</w:t>
      </w:r>
    </w:p>
    <w:p w:rsidR="00000000" w:rsidDel="00000000" w:rsidP="00000000" w:rsidRDefault="00000000" w:rsidRPr="00000000" w14:paraId="0000000B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propiciar e qualificar a ocupação do sítio urbano em consonância com a legislação urbanística e ambiental.</w:t>
      </w:r>
    </w:p>
    <w:p w:rsidR="00000000" w:rsidDel="00000000" w:rsidP="00000000" w:rsidRDefault="00000000" w:rsidRPr="00000000" w14:paraId="0000000C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consecução dos objetivos desta Lei poderá se dar mediante a oferta dos serviços pelo Município, custeados por recursos da União, na forma da Lei Federal nº  11.888,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aportes do Estado do Rio Grande do Norte, por dotações orçamentárias próprias ou ainda por meio de outras fontes de financiamento que vierem a ser viabilizadas.</w:t>
      </w:r>
    </w:p>
    <w:p w:rsidR="00000000" w:rsidDel="00000000" w:rsidP="00000000" w:rsidRDefault="00000000" w:rsidRPr="00000000" w14:paraId="0000000D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1º A assistência técnica pode ser oferecida diretamente às famílias ou a cooperativas, associações de moradores ou outros grupos organizados que as representem.</w:t>
      </w:r>
    </w:p>
    <w:p w:rsidR="00000000" w:rsidDel="00000000" w:rsidP="00000000" w:rsidRDefault="00000000" w:rsidRPr="00000000" w14:paraId="0000000E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2º Os critérios para a seleção dos beneficiários da assistência técnica deverão ser fixados pelo órgão colegiado do Município responsável pelas linhas de ação na área habitacional, em alinhamento às resoluções e deliberações do Conselho Gestor do Fundo Municipal de Habitação.</w:t>
      </w:r>
    </w:p>
    <w:p w:rsidR="00000000" w:rsidDel="00000000" w:rsidP="00000000" w:rsidRDefault="00000000" w:rsidRPr="00000000" w14:paraId="0000000F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Têm o direito à assistência técnica pública e gratuita as famílias que preencherem os seguintes requisitos:</w:t>
      </w:r>
    </w:p>
    <w:p w:rsidR="00000000" w:rsidDel="00000000" w:rsidP="00000000" w:rsidRDefault="00000000" w:rsidRPr="00000000" w14:paraId="00000010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possuir renda mensal de até 03 (três) salários mínimos;</w:t>
      </w:r>
    </w:p>
    <w:p w:rsidR="00000000" w:rsidDel="00000000" w:rsidP="00000000" w:rsidRDefault="00000000" w:rsidRPr="00000000" w14:paraId="00000011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ser residente no perímetro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urbano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Município;</w:t>
      </w:r>
    </w:p>
    <w:p w:rsidR="00000000" w:rsidDel="00000000" w:rsidP="00000000" w:rsidRDefault="00000000" w:rsidRPr="00000000" w14:paraId="00000012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possuir um único imóvel no nome, com área de 250m² (duzentos e cinquenta metros quadrados), destinado exclusivamente à moradia própria, que será objeto da assistência;</w:t>
      </w:r>
    </w:p>
    <w:p w:rsidR="00000000" w:rsidDel="00000000" w:rsidP="00000000" w:rsidRDefault="00000000" w:rsidRPr="00000000" w14:paraId="00000013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não ter sido beneficiado anteriormente em programa de assistência técnica deste Município.</w:t>
      </w:r>
    </w:p>
    <w:p w:rsidR="00000000" w:rsidDel="00000000" w:rsidP="00000000" w:rsidRDefault="00000000" w:rsidRPr="00000000" w14:paraId="00000014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- estar em dia com o pagamento do IPTU, quando aplicável.</w:t>
      </w:r>
    </w:p>
    <w:p w:rsidR="00000000" w:rsidDel="00000000" w:rsidP="00000000" w:rsidRDefault="00000000" w:rsidRPr="00000000" w14:paraId="00000015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1º Para participar da assistência técnica pública e gratuita, o interessado deverá apresentar os seguintes documentos:</w:t>
      </w:r>
    </w:p>
    <w:p w:rsidR="00000000" w:rsidDel="00000000" w:rsidP="00000000" w:rsidRDefault="00000000" w:rsidRPr="00000000" w14:paraId="00000016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cópia dos documentos pessoais;</w:t>
      </w:r>
    </w:p>
    <w:p w:rsidR="00000000" w:rsidDel="00000000" w:rsidP="00000000" w:rsidRDefault="00000000" w:rsidRPr="00000000" w14:paraId="00000017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cópia do comprovante de residência;</w:t>
      </w:r>
    </w:p>
    <w:p w:rsidR="00000000" w:rsidDel="00000000" w:rsidP="00000000" w:rsidRDefault="00000000" w:rsidRPr="00000000" w14:paraId="00000018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cópia do documento que comprove a propriedade do imóvel;</w:t>
      </w:r>
    </w:p>
    <w:p w:rsidR="00000000" w:rsidDel="00000000" w:rsidP="00000000" w:rsidRDefault="00000000" w:rsidRPr="00000000" w14:paraId="00000019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relatório social emitido por Assistente Social do Município;</w:t>
      </w:r>
    </w:p>
    <w:p w:rsidR="00000000" w:rsidDel="00000000" w:rsidP="00000000" w:rsidRDefault="00000000" w:rsidRPr="00000000" w14:paraId="0000001A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- termo de compromisso e responsabilidade, devidamente assinado;</w:t>
      </w:r>
    </w:p>
    <w:p w:rsidR="00000000" w:rsidDel="00000000" w:rsidP="00000000" w:rsidRDefault="00000000" w:rsidRPr="00000000" w14:paraId="0000001B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2º O Setor responsável pela execução dos serviços inerentes à assistência técnica, poderá requisitar documentos complementares conforme a especificidade do caso.</w:t>
      </w:r>
    </w:p>
    <w:p w:rsidR="00000000" w:rsidDel="00000000" w:rsidP="00000000" w:rsidRDefault="00000000" w:rsidRPr="00000000" w14:paraId="0000001C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3º Constituem obrigações do beneficiário:</w:t>
      </w:r>
    </w:p>
    <w:p w:rsidR="00000000" w:rsidDel="00000000" w:rsidP="00000000" w:rsidRDefault="00000000" w:rsidRPr="00000000" w14:paraId="0000001D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comprometer-se, pelo período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(três) anos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contados da data da autorização da construção, a não realizar a venda ou a transferência a qualquer título para terceiros, do imóvel objeto da assistência;</w:t>
      </w:r>
    </w:p>
    <w:p w:rsidR="00000000" w:rsidDel="00000000" w:rsidP="00000000" w:rsidRDefault="00000000" w:rsidRPr="00000000" w14:paraId="0000001E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respeitar as Posturas Municipais durante todos os procedimentos;</w:t>
      </w:r>
    </w:p>
    <w:p w:rsidR="00000000" w:rsidDel="00000000" w:rsidP="00000000" w:rsidRDefault="00000000" w:rsidRPr="00000000" w14:paraId="0000001F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atender as orientações técnicas e normativas informadas pelo profissional;</w:t>
      </w:r>
    </w:p>
    <w:p w:rsidR="00000000" w:rsidDel="00000000" w:rsidP="00000000" w:rsidRDefault="00000000" w:rsidRPr="00000000" w14:paraId="00000020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acompanhar e supervisionar a execução da obra;</w:t>
      </w:r>
    </w:p>
    <w:p w:rsidR="00000000" w:rsidDel="00000000" w:rsidP="00000000" w:rsidRDefault="00000000" w:rsidRPr="00000000" w14:paraId="00000021">
      <w:pPr>
        <w:spacing w:after="200" w:line="276" w:lineRule="auto"/>
        <w:ind w:left="0"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4º O descumprimento do prazo estabelecido no inciso I do §3º deste artigo sujeitará o proprietário do imóvel ao pagamento de multa de até 50% do valor dos serviços realizados nos termos desta lei, mediante prévio processo administrativo que assegure o contraditório e a ampla defesa.</w:t>
      </w:r>
    </w:p>
    <w:p w:rsidR="00000000" w:rsidDel="00000000" w:rsidP="00000000" w:rsidRDefault="00000000" w:rsidRPr="00000000" w14:paraId="00000022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Constituem atribuições da assistência técnica:</w:t>
      </w:r>
    </w:p>
    <w:p w:rsidR="00000000" w:rsidDel="00000000" w:rsidP="00000000" w:rsidRDefault="00000000" w:rsidRPr="00000000" w14:paraId="00000023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prestar atendimento ao beneficiário quanto ao projeto arquitetônico, adequação social e ambiental da obra;</w:t>
      </w:r>
    </w:p>
    <w:p w:rsidR="00000000" w:rsidDel="00000000" w:rsidP="00000000" w:rsidRDefault="00000000" w:rsidRPr="00000000" w14:paraId="00000024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disponibilizar projetos, voltados ao conforto e segurança habitacionais, destinados às demandas locais, em conformidade com os princípios de economicidade e sustentabilidade;</w:t>
      </w:r>
    </w:p>
    <w:p w:rsidR="00000000" w:rsidDel="00000000" w:rsidP="00000000" w:rsidRDefault="00000000" w:rsidRPr="00000000" w14:paraId="00000025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realizar o acompanhamento físico da obra;</w:t>
      </w:r>
    </w:p>
    <w:p w:rsidR="00000000" w:rsidDel="00000000" w:rsidP="00000000" w:rsidRDefault="00000000" w:rsidRPr="00000000" w14:paraId="00000026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fornecer a anotação de responsabilidade técnica-ART ou registro de responsabilidade técnica-RRT ou termo de responsabilidade técnica-TRT,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as atribuições definidas pelo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conselho de classe profissional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1º Os projetos terão duas categorias de classificação:</w:t>
      </w:r>
    </w:p>
    <w:p w:rsidR="00000000" w:rsidDel="00000000" w:rsidP="00000000" w:rsidRDefault="00000000" w:rsidRPr="00000000" w14:paraId="00000028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Construção nova, caracterizada pela execução de unidade habitacional a partir de projeto-padrão previamente definido, destinada exclusivamente à moradia do beneficiário, com área máxima de 70,00 m² (setenta metros quadrados);</w:t>
      </w:r>
    </w:p>
    <w:p w:rsidR="00000000" w:rsidDel="00000000" w:rsidP="00000000" w:rsidRDefault="00000000" w:rsidRPr="00000000" w14:paraId="00000029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Regularização de unidade habitacional já existente, isolada ou agrupada, conforme classificação prevista na legislação urbanística municipal, cuja área não ultrapasse 70,00m² (setenta metros quadrados).</w:t>
      </w:r>
    </w:p>
    <w:p w:rsidR="00000000" w:rsidDel="00000000" w:rsidP="00000000" w:rsidRDefault="00000000" w:rsidRPr="00000000" w14:paraId="0000002A">
      <w:pPr>
        <w:spacing w:after="200" w:line="276" w:lineRule="auto"/>
        <w:ind w:right="5.669291338583093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concluídas, as unidades habitacionais não poderão exceder a área computável de 70,00m² (setenta metros quadrados), nem poderão ser edificadas com laje de concreto.</w:t>
      </w:r>
    </w:p>
    <w:p w:rsidR="00000000" w:rsidDel="00000000" w:rsidP="00000000" w:rsidRDefault="00000000" w:rsidRPr="00000000" w14:paraId="0000002B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Secretaria Municipal responsável pelo gerenciamento da assistência técnica, deverá: </w:t>
      </w:r>
    </w:p>
    <w:p w:rsidR="00000000" w:rsidDel="00000000" w:rsidP="00000000" w:rsidRDefault="00000000" w:rsidRPr="00000000" w14:paraId="0000002C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manter o cadastro das pessoas beneficiadas pela assistência técnica;</w:t>
      </w:r>
    </w:p>
    <w:p w:rsidR="00000000" w:rsidDel="00000000" w:rsidP="00000000" w:rsidRDefault="00000000" w:rsidRPr="00000000" w14:paraId="0000002D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emitir alvarás de construção para as moradias já projetadas e dotadas de registro de responsabilidade técnica do profissional;</w:t>
      </w:r>
    </w:p>
    <w:p w:rsidR="00000000" w:rsidDel="00000000" w:rsidP="00000000" w:rsidRDefault="00000000" w:rsidRPr="00000000" w14:paraId="0000002E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promover a averiguação sobre a observância do beneficiário e de sua obra em relação às posturas municipais;</w:t>
      </w:r>
    </w:p>
    <w:p w:rsidR="00000000" w:rsidDel="00000000" w:rsidP="00000000" w:rsidRDefault="00000000" w:rsidRPr="00000000" w14:paraId="0000002F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suspender o alvará de construção quando constatada qualquer irregularidade e cancelar o benefício mediante notificação pelo descumprimento das condições técnicas ou legais;</w:t>
      </w:r>
    </w:p>
    <w:p w:rsidR="00000000" w:rsidDel="00000000" w:rsidP="00000000" w:rsidRDefault="00000000" w:rsidRPr="00000000" w14:paraId="00000030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- assegurar que as atividades técnicas sejam desenvolvidas em perfeita consonância com os padrões éticos e segundo a legislação em vigor;</w:t>
      </w:r>
    </w:p>
    <w:p w:rsidR="00000000" w:rsidDel="00000000" w:rsidP="00000000" w:rsidRDefault="00000000" w:rsidRPr="00000000" w14:paraId="00000031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- expedir resoluções que auxiliem na execução dos trabalhos da assistência técnica;</w:t>
      </w:r>
    </w:p>
    <w:p w:rsidR="00000000" w:rsidDel="00000000" w:rsidP="00000000" w:rsidRDefault="00000000" w:rsidRPr="00000000" w14:paraId="00000032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 - garantir a correta triagem das pessoas que fazem jus à assistência técnica pública e gratuita.</w:t>
      </w:r>
    </w:p>
    <w:p w:rsidR="00000000" w:rsidDel="00000000" w:rsidP="00000000" w:rsidRDefault="00000000" w:rsidRPr="00000000" w14:paraId="00000033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serviços de assistência técnica objeto de convênio ou termo de parceria com o Município devem ser prestados por profissionais das áreas de arquitetura, urbanismo, engenharia, técnicos em edificações ou técnicos em construção civil,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assistência social ou direito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forma integrada, de acordo com suas atribuições profissionais que atuem como:</w:t>
      </w:r>
    </w:p>
    <w:p w:rsidR="00000000" w:rsidDel="00000000" w:rsidP="00000000" w:rsidRDefault="00000000" w:rsidRPr="00000000" w14:paraId="00000034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servidores públicos do Município;</w:t>
      </w:r>
    </w:p>
    <w:p w:rsidR="00000000" w:rsidDel="00000000" w:rsidP="00000000" w:rsidRDefault="00000000" w:rsidRPr="00000000" w14:paraId="00000035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integrantes de equipes de organizações não-governamentais sem fins lucrativos;</w:t>
      </w:r>
    </w:p>
    <w:p w:rsidR="00000000" w:rsidDel="00000000" w:rsidP="00000000" w:rsidRDefault="00000000" w:rsidRPr="00000000" w14:paraId="00000036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profissionais inscritos em programas de residência acadêmica em arquitetura, urbanismo ou engenharia ou em programas de extensão universitária, por meio de escritórios-modelos ou escritórios públicos com atuação na área; por meio de convênio ou termo de parceria com o Município;</w:t>
      </w:r>
    </w:p>
    <w:p w:rsidR="00000000" w:rsidDel="00000000" w:rsidP="00000000" w:rsidRDefault="00000000" w:rsidRPr="00000000" w14:paraId="00000037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profissionais autônomos ou integrantes de equipes de pessoas jurídicas, previamente credenciados, selecionados e contratados pelo Município.</w:t>
      </w:r>
    </w:p>
    <w:p w:rsidR="00000000" w:rsidDel="00000000" w:rsidP="00000000" w:rsidRDefault="00000000" w:rsidRPr="00000000" w14:paraId="00000038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1º Na seleção e contratação dos profissionais na forma do inciso IV do caput deste artigo, deve ser garantida a participação das entidades profissionais de arquitetos, engenheiros, técnicos em edificações e Técnico em Construção Civil mediante convênio ou termo de parceria com o ente público responsável.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2º Em qualquer das modalidades de atuação previstas no caput deste artigo deve ser assegurada a devida anotação de responsabilidade técnica-ART ou registro de responsabilidade técnica-RRT ou termo de responsabilidade técnica-TRT.</w:t>
      </w:r>
    </w:p>
    <w:p w:rsidR="00000000" w:rsidDel="00000000" w:rsidP="00000000" w:rsidRDefault="00000000" w:rsidRPr="00000000" w14:paraId="0000003A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3º Compete ao profissional designado para executar os serviços inerentes à assistência técnica:</w:t>
      </w:r>
    </w:p>
    <w:p w:rsidR="00000000" w:rsidDel="00000000" w:rsidP="00000000" w:rsidRDefault="00000000" w:rsidRPr="00000000" w14:paraId="0000003B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prestar atendimento técnico com urbanidade e respeito;</w:t>
      </w:r>
    </w:p>
    <w:p w:rsidR="00000000" w:rsidDel="00000000" w:rsidP="00000000" w:rsidRDefault="00000000" w:rsidRPr="00000000" w14:paraId="0000003C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sempre que possível, promover melhorias nas opções de projetos a serem ofertadas aos beneficiários;</w:t>
      </w:r>
    </w:p>
    <w:p w:rsidR="00000000" w:rsidDel="00000000" w:rsidP="00000000" w:rsidRDefault="00000000" w:rsidRPr="00000000" w14:paraId="0000003D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atender às determinações emanadas da Secretaria Municipal responsável pelo gerenciamento da assistência técnica;</w:t>
      </w:r>
    </w:p>
    <w:p w:rsidR="00000000" w:rsidDel="00000000" w:rsidP="00000000" w:rsidRDefault="00000000" w:rsidRPr="00000000" w14:paraId="0000003E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responsabilizar-se pelos trabalhos executados;</w:t>
      </w:r>
    </w:p>
    <w:p w:rsidR="00000000" w:rsidDel="00000000" w:rsidP="00000000" w:rsidRDefault="00000000" w:rsidRPr="00000000" w14:paraId="0000003F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- respeitar o código de ética da profissão;</w:t>
      </w:r>
    </w:p>
    <w:p w:rsidR="00000000" w:rsidDel="00000000" w:rsidP="00000000" w:rsidRDefault="00000000" w:rsidRPr="00000000" w14:paraId="00000040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- notificar qualquer irregularidade que contrarie as normas da assistência técnica ou a legislação em vigor;</w:t>
      </w:r>
    </w:p>
    <w:p w:rsidR="00000000" w:rsidDel="00000000" w:rsidP="00000000" w:rsidRDefault="00000000" w:rsidRPr="00000000" w14:paraId="00000041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 - estar quite com o Conselho da respectiva classe profissional-CAU ou CREA ou CFT;</w:t>
      </w:r>
    </w:p>
    <w:p w:rsidR="00000000" w:rsidDel="00000000" w:rsidP="00000000" w:rsidRDefault="00000000" w:rsidRPr="00000000" w14:paraId="00000042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 - emitir anotação de responsabilidade técnica-ART ou registro de responsabilidade técnica-RRT ou termo de responsabilidade técnica-TRT em seu nome;</w:t>
      </w:r>
    </w:p>
    <w:p w:rsidR="00000000" w:rsidDel="00000000" w:rsidP="00000000" w:rsidRDefault="00000000" w:rsidRPr="00000000" w14:paraId="00000043">
      <w:pPr>
        <w:spacing w:after="200" w:line="276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 - apresentar relatórios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semestrais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a descrição dos atendimentos, registros fotográficos das vistorias, andamento dos serviços e demais informações que julgar pertinente ou que forem requisitadas.</w:t>
      </w:r>
    </w:p>
    <w:p w:rsidR="00000000" w:rsidDel="00000000" w:rsidP="00000000" w:rsidRDefault="00000000" w:rsidRPr="00000000" w14:paraId="00000044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8º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despesas com a execução da presente Lei correrão por conta das dotações orçamentárias próprias. </w:t>
      </w:r>
    </w:p>
    <w:p w:rsidR="00000000" w:rsidDel="00000000" w:rsidP="00000000" w:rsidRDefault="00000000" w:rsidRPr="00000000" w14:paraId="00000045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9º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Poder Executivo Municipal regulamentará esta Lei, no que couber, no prazo de até 60 (sessenta) dias a contar da data de sua publicação.</w:t>
      </w:r>
    </w:p>
    <w:p w:rsidR="00000000" w:rsidDel="00000000" w:rsidP="00000000" w:rsidRDefault="00000000" w:rsidRPr="00000000" w14:paraId="00000046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Lei entra em vigor na data de sua publicação, revogadas as disposições em contrário.</w:t>
      </w:r>
    </w:p>
    <w:p w:rsidR="00000000" w:rsidDel="00000000" w:rsidP="00000000" w:rsidRDefault="00000000" w:rsidRPr="00000000" w14:paraId="00000047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11 de novembro de 2025.</w:t>
      </w:r>
    </w:p>
    <w:p w:rsidR="00000000" w:rsidDel="00000000" w:rsidP="00000000" w:rsidRDefault="00000000" w:rsidRPr="00000000" w14:paraId="00000049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="276" w:lineRule="auto"/>
        <w:ind w:right="5.66929133858309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ALEX-SANDRO ALVES</w:t>
      </w:r>
    </w:p>
    <w:p w:rsidR="00000000" w:rsidDel="00000000" w:rsidP="00000000" w:rsidRDefault="00000000" w:rsidRPr="00000000" w14:paraId="0000004C">
      <w:pPr>
        <w:spacing w:after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00" w:line="276" w:lineRule="auto"/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proposta para a implantação da Assistência Técnica se pauta pela universalização do acesso aos serviços profissionais de engenharia, entendida aqui como aquela que cumpre as exigências formais de licenciamento urbanístico e atende aos requisitos mínimos de habitabilidade perante o conselho da classe. Goza, sem dúvida, a municipalidade de competência para promover programa de assistência técnica para os beneficiários que vão construir sua moradia e a melhoria das condições habitacionais, à luz do art. 23, IX da CF/88. Tal proposta, contudo, se baseia ao proposto pela Lei Nacional nº 11.888/2008, que “assegura o direito das famílias de baixa renda à assistência técnica pública e gratuita para o projeto e a construção de habitação de interesse social, como parte integrante do direito social à moradia previsto no art. 6° da Constituição Federal” e prevê a transferência de recursos da União para os Estados e Municípios para a prestação desses serviços.</w:t>
      </w:r>
    </w:p>
    <w:p w:rsidR="00000000" w:rsidDel="00000000" w:rsidP="00000000" w:rsidRDefault="00000000" w:rsidRPr="00000000" w14:paraId="0000004F">
      <w:pPr>
        <w:spacing w:after="20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os serviços de assistência técnica podem ser executados também por servidores públicos municipais. Dessa forma, uma vez que o Município conta com profissionais habilitados e tecnicamente capacitados para desempenhar as atividades necessárias, a implementação do projeto não acarretará despesas adicionais relevantes ao Município.</w:t>
      </w:r>
    </w:p>
    <w:p w:rsidR="00000000" w:rsidDel="00000000" w:rsidP="00000000" w:rsidRDefault="00000000" w:rsidRPr="00000000" w14:paraId="00000050">
      <w:pPr>
        <w:spacing w:after="20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isso,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retende-se que todas as famílias que atendam às exigências deste projeto de lei possam ser atendidas gratuitamente por um profissional para acompanhamento e projeto para construção, reforma ou ampliação de sua casa. </w:t>
      </w:r>
    </w:p>
    <w:p w:rsidR="00000000" w:rsidDel="00000000" w:rsidP="00000000" w:rsidRDefault="00000000" w:rsidRPr="00000000" w14:paraId="00000051">
      <w:pPr>
        <w:spacing w:after="20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Desta maneira fica garantida a relação: UMA FAMÍLIA – UM PROFISSIONAL – UM PROJETO – UMA OBRA. Ou seja, o profissional fará um projeto de arquitetura adequado àquela família e às suas especificidades e a partir das condições existentes de moradia. Desta maneira as famílias de baixa renda poderão ter acesso ao trabalho do profissional de arquitetura, até hoje um privilégio das classes médias e altas.</w:t>
      </w:r>
    </w:p>
    <w:p w:rsidR="00000000" w:rsidDel="00000000" w:rsidP="00000000" w:rsidRDefault="00000000" w:rsidRPr="00000000" w14:paraId="00000052">
      <w:pPr>
        <w:spacing w:after="20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projeto de lei tem por base legal a Lei Federal nº 11.888, de 24 de dezembro de 2008, que assegura às famílias de baixa renda assistência técnica pública e gratuita para o projeto e a construção de habitação de interesse social, bem como o artigo 290-A da Lei nº 6.015, de 31 de dezembro de 1973 (Lei dos Registros Públicos), que isenta o registro da primeira averbação de uma construção residencial de até 70m² em áreas urbanas que são objeto de regularização fundiária de interesse social.</w:t>
      </w:r>
    </w:p>
    <w:p w:rsidR="00000000" w:rsidDel="00000000" w:rsidP="00000000" w:rsidRDefault="00000000" w:rsidRPr="00000000" w14:paraId="00000053">
      <w:pPr>
        <w:spacing w:after="20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 ressaltar que as áreas foram definidas em conformidade com as legislações mencionadas anteriormente, atendendo aos critérios destinados a famílias de baixa renda e a áreas de interesse social. Qualquer ampliação dessas áreas não teria respaldo nas normas federais vigentes.</w:t>
      </w:r>
    </w:p>
    <w:p w:rsidR="00000000" w:rsidDel="00000000" w:rsidP="00000000" w:rsidRDefault="00000000" w:rsidRPr="00000000" w14:paraId="00000054">
      <w:pPr>
        <w:spacing w:after="20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de lei também incluiu, entre os profissionais habilitados para a assistência técnica, o técnico em edificações e o técnico em construção civil, considerando que esses profissionais possuem atribuição para atuar em áreas construídas de até 80m², conforme dispõe a Resolução nº 058/2019 do CFT.</w:t>
      </w:r>
    </w:p>
    <w:p w:rsidR="00000000" w:rsidDel="00000000" w:rsidP="00000000" w:rsidRDefault="00000000" w:rsidRPr="00000000" w14:paraId="00000055">
      <w:pPr>
        <w:spacing w:after="200" w:line="276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Urge, portanto, que o Município institua um processo voltado ao atendimento e à promoção da moradia adequada. Trata-se de uma proposição de elevada relevância social, que representa uma medida de justiça às populações de baixa renda de nosso município, especialmente porque essas famílias possuem o inegável direito de contar com a assistência de profissionais habilitados na realização daquele que, em quase todos os casos, constitui o mais importante empreendimento de suas vidas: a construção de sua própria moradia.</w:t>
      </w:r>
    </w:p>
    <w:p w:rsidR="00000000" w:rsidDel="00000000" w:rsidP="00000000" w:rsidRDefault="00000000" w:rsidRPr="00000000" w14:paraId="00000056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de todo o exposto, contamos com o apoio dos ilustres parlamentares desta Casa para a aprovação deste projeto de lei, sobretudo em razão do relevante interesse público do qual se reveste.</w:t>
      </w:r>
    </w:p>
    <w:p w:rsidR="00000000" w:rsidDel="00000000" w:rsidP="00000000" w:rsidRDefault="00000000" w:rsidRPr="00000000" w14:paraId="00000057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ALEX-SANDRO ALVES</w:t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1443038</wp:posOffset>
          </wp:positionH>
          <wp:positionV relativeFrom="page">
            <wp:posOffset>155403</wp:posOffset>
          </wp:positionV>
          <wp:extent cx="2582813" cy="1454322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5E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5F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60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61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62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63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